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700" w:rsidRPr="005F2700" w:rsidRDefault="003B7531" w:rsidP="005F2700">
      <w:pPr>
        <w:jc w:val="center"/>
        <w:rPr>
          <w:rFonts w:ascii="黑体" w:eastAsia="黑体" w:hAnsi="黑体"/>
          <w:sz w:val="32"/>
          <w:szCs w:val="32"/>
        </w:rPr>
      </w:pPr>
      <w:r w:rsidRPr="003B7531">
        <w:rPr>
          <w:rFonts w:ascii="黑体" w:eastAsia="黑体" w:hAnsi="黑体" w:hint="eastAsia"/>
          <w:sz w:val="32"/>
          <w:szCs w:val="32"/>
        </w:rPr>
        <w:t>2020年创新</w:t>
      </w:r>
      <w:r w:rsidRPr="003B7531">
        <w:rPr>
          <w:rFonts w:ascii="黑体" w:eastAsia="黑体" w:hAnsi="黑体"/>
          <w:sz w:val="32"/>
          <w:szCs w:val="32"/>
        </w:rPr>
        <w:t>创业</w:t>
      </w:r>
      <w:r w:rsidRPr="003B7531">
        <w:rPr>
          <w:rFonts w:ascii="黑体" w:eastAsia="黑体" w:hAnsi="黑体" w:hint="eastAsia"/>
          <w:sz w:val="32"/>
          <w:szCs w:val="32"/>
        </w:rPr>
        <w:t>学分</w:t>
      </w:r>
      <w:r w:rsidRPr="003B7531">
        <w:rPr>
          <w:rFonts w:ascii="黑体" w:eastAsia="黑体" w:hAnsi="黑体"/>
          <w:sz w:val="32"/>
          <w:szCs w:val="32"/>
        </w:rPr>
        <w:t>认定</w:t>
      </w:r>
      <w:r w:rsidR="005F2700">
        <w:rPr>
          <w:rFonts w:ascii="黑体" w:eastAsia="黑体" w:hAnsi="黑体" w:hint="eastAsia"/>
          <w:sz w:val="32"/>
          <w:szCs w:val="32"/>
        </w:rPr>
        <w:t>解读</w:t>
      </w:r>
    </w:p>
    <w:p w:rsidR="003B7531" w:rsidRPr="003B7531" w:rsidRDefault="003B7531" w:rsidP="003B7531">
      <w:pPr>
        <w:pStyle w:val="a5"/>
        <w:numPr>
          <w:ilvl w:val="0"/>
          <w:numId w:val="1"/>
        </w:numPr>
        <w:ind w:firstLineChars="0"/>
        <w:jc w:val="left"/>
        <w:rPr>
          <w:rFonts w:asciiTheme="minorEastAsia" w:hAnsiTheme="minorEastAsia"/>
          <w:sz w:val="24"/>
          <w:szCs w:val="24"/>
        </w:rPr>
      </w:pPr>
      <w:r w:rsidRPr="003B7531">
        <w:rPr>
          <w:rFonts w:asciiTheme="minorEastAsia" w:hAnsiTheme="minorEastAsia"/>
          <w:sz w:val="24"/>
          <w:szCs w:val="24"/>
        </w:rPr>
        <w:t>基本原则</w:t>
      </w:r>
    </w:p>
    <w:p w:rsidR="003B7531" w:rsidRPr="003B7531" w:rsidRDefault="003B7531" w:rsidP="003B7531">
      <w:pPr>
        <w:pStyle w:val="a5"/>
        <w:ind w:left="480" w:firstLineChars="250" w:firstLine="525"/>
        <w:jc w:val="left"/>
        <w:rPr>
          <w:rFonts w:asciiTheme="minorEastAsia" w:hAnsiTheme="minorEastAsia"/>
        </w:rPr>
      </w:pPr>
      <w:r w:rsidRPr="003B7531">
        <w:rPr>
          <w:rFonts w:asciiTheme="minorEastAsia" w:hAnsiTheme="minorEastAsia" w:hint="eastAsia"/>
        </w:rPr>
        <w:t>（一）学生参加各类项目取得立项的级别和等级，是认定学分成绩高低的重要依据。项目的级别由组织单位级别决定，且必须以结题为认定学分的依据。</w:t>
      </w:r>
    </w:p>
    <w:p w:rsidR="003B7531" w:rsidRPr="003B7531" w:rsidRDefault="003B7531" w:rsidP="003B7531">
      <w:pPr>
        <w:pStyle w:val="a5"/>
        <w:ind w:left="480" w:firstLine="480"/>
        <w:jc w:val="left"/>
        <w:rPr>
          <w:rFonts w:asciiTheme="minorEastAsia" w:hAnsiTheme="minorEastAsia"/>
          <w:sz w:val="24"/>
          <w:szCs w:val="24"/>
        </w:rPr>
      </w:pPr>
      <w:r w:rsidRPr="003B7531">
        <w:rPr>
          <w:rFonts w:asciiTheme="minorEastAsia" w:hAnsiTheme="minorEastAsia" w:hint="eastAsia"/>
          <w:sz w:val="24"/>
          <w:szCs w:val="24"/>
        </w:rPr>
        <w:t>（二）</w:t>
      </w:r>
      <w:r w:rsidRPr="003B7531">
        <w:rPr>
          <w:rFonts w:asciiTheme="minorEastAsia" w:hAnsiTheme="minorEastAsia" w:hint="eastAsia"/>
          <w:b/>
          <w:bCs/>
          <w:color w:val="FF0000"/>
          <w:sz w:val="24"/>
          <w:szCs w:val="24"/>
        </w:rPr>
        <w:t>同一项目</w:t>
      </w:r>
      <w:r w:rsidRPr="003B7531">
        <w:rPr>
          <w:rFonts w:asciiTheme="minorEastAsia" w:hAnsiTheme="minorEastAsia" w:hint="eastAsia"/>
          <w:b/>
          <w:bCs/>
          <w:sz w:val="24"/>
          <w:szCs w:val="24"/>
        </w:rPr>
        <w:t>成果在学分认定时，</w:t>
      </w:r>
      <w:r w:rsidRPr="003B7531">
        <w:rPr>
          <w:rFonts w:asciiTheme="minorEastAsia" w:hAnsiTheme="minorEastAsia" w:hint="eastAsia"/>
          <w:b/>
          <w:bCs/>
          <w:color w:val="FF0000"/>
          <w:sz w:val="24"/>
          <w:szCs w:val="24"/>
        </w:rPr>
        <w:t>遵循就高成果原则，不重复认定。</w:t>
      </w:r>
      <w:r w:rsidRPr="003B7531">
        <w:rPr>
          <w:rFonts w:asciiTheme="minorEastAsia" w:hAnsiTheme="minorEastAsia" w:hint="eastAsia"/>
          <w:b/>
          <w:bCs/>
          <w:sz w:val="24"/>
          <w:szCs w:val="24"/>
        </w:rPr>
        <w:t>集体项目中，参与学生根据项目不同分别计分。</w:t>
      </w:r>
    </w:p>
    <w:p w:rsidR="003B7531" w:rsidRPr="003B7531" w:rsidRDefault="003B7531" w:rsidP="003B7531">
      <w:pPr>
        <w:pStyle w:val="a5"/>
        <w:ind w:left="480" w:firstLine="480"/>
        <w:jc w:val="left"/>
        <w:rPr>
          <w:rFonts w:asciiTheme="minorEastAsia" w:hAnsiTheme="minorEastAsia"/>
          <w:sz w:val="24"/>
          <w:szCs w:val="24"/>
        </w:rPr>
      </w:pPr>
      <w:r w:rsidRPr="003B7531">
        <w:rPr>
          <w:rFonts w:asciiTheme="minorEastAsia" w:hAnsiTheme="minorEastAsia" w:hint="eastAsia"/>
          <w:sz w:val="24"/>
          <w:szCs w:val="24"/>
        </w:rPr>
        <w:t>（三）</w:t>
      </w:r>
      <w:r w:rsidRPr="003B7531">
        <w:rPr>
          <w:rFonts w:asciiTheme="minorEastAsia" w:hAnsiTheme="minorEastAsia" w:hint="eastAsia"/>
          <w:b/>
          <w:bCs/>
          <w:sz w:val="24"/>
          <w:szCs w:val="24"/>
        </w:rPr>
        <w:t>创新创业学分的评定采用等级记分制</w:t>
      </w:r>
      <w:r w:rsidRPr="003B7531">
        <w:rPr>
          <w:rFonts w:asciiTheme="minorEastAsia" w:hAnsiTheme="minorEastAsia" w:hint="eastAsia"/>
          <w:sz w:val="24"/>
          <w:szCs w:val="24"/>
        </w:rPr>
        <w:t>，根据学生在各模块获得的累计分值确定总评成绩，具体评定方法如下：</w:t>
      </w:r>
    </w:p>
    <w:p w:rsidR="003B7531" w:rsidRPr="003B7531" w:rsidRDefault="003B7531" w:rsidP="003B7531">
      <w:pPr>
        <w:pStyle w:val="a5"/>
        <w:ind w:left="480" w:firstLine="480"/>
        <w:jc w:val="left"/>
        <w:rPr>
          <w:rFonts w:asciiTheme="minorEastAsia" w:hAnsiTheme="minorEastAsia"/>
          <w:sz w:val="24"/>
          <w:szCs w:val="24"/>
        </w:rPr>
      </w:pPr>
      <w:r w:rsidRPr="003B7531">
        <w:rPr>
          <w:rFonts w:asciiTheme="minorEastAsia" w:hAnsiTheme="minorEastAsia" w:hint="eastAsia"/>
          <w:sz w:val="24"/>
          <w:szCs w:val="24"/>
        </w:rPr>
        <w:t>1.获得分值累计在10分（含）以上，成绩记为“优”；</w:t>
      </w:r>
    </w:p>
    <w:p w:rsidR="003B7531" w:rsidRPr="003B7531" w:rsidRDefault="003B7531" w:rsidP="003B7531">
      <w:pPr>
        <w:pStyle w:val="a5"/>
        <w:ind w:left="480" w:firstLine="480"/>
        <w:jc w:val="left"/>
        <w:rPr>
          <w:rFonts w:asciiTheme="minorEastAsia" w:hAnsiTheme="minorEastAsia"/>
          <w:sz w:val="24"/>
          <w:szCs w:val="24"/>
        </w:rPr>
      </w:pPr>
      <w:r w:rsidRPr="003B7531">
        <w:rPr>
          <w:rFonts w:asciiTheme="minorEastAsia" w:hAnsiTheme="minorEastAsia" w:hint="eastAsia"/>
          <w:sz w:val="24"/>
          <w:szCs w:val="24"/>
        </w:rPr>
        <w:t>2.获得分值累计在8分（含）以上,10分以下，成绩记为“良”；</w:t>
      </w:r>
    </w:p>
    <w:p w:rsidR="003B7531" w:rsidRPr="003B7531" w:rsidRDefault="003B7531" w:rsidP="003B7531">
      <w:pPr>
        <w:pStyle w:val="a5"/>
        <w:ind w:left="480" w:firstLine="480"/>
        <w:jc w:val="left"/>
        <w:rPr>
          <w:rFonts w:asciiTheme="minorEastAsia" w:hAnsiTheme="minorEastAsia"/>
          <w:sz w:val="24"/>
          <w:szCs w:val="24"/>
        </w:rPr>
      </w:pPr>
      <w:r w:rsidRPr="003B7531">
        <w:rPr>
          <w:rFonts w:asciiTheme="minorEastAsia" w:hAnsiTheme="minorEastAsia" w:hint="eastAsia"/>
          <w:sz w:val="24"/>
          <w:szCs w:val="24"/>
        </w:rPr>
        <w:t>3.获得分值累计在6分（含）以上,8分以下，成绩记为“中”；</w:t>
      </w:r>
    </w:p>
    <w:p w:rsidR="003B7531" w:rsidRPr="003B7531" w:rsidRDefault="003B7531" w:rsidP="003B7531">
      <w:pPr>
        <w:pStyle w:val="a5"/>
        <w:ind w:left="480" w:firstLine="480"/>
        <w:jc w:val="left"/>
        <w:rPr>
          <w:rFonts w:asciiTheme="minorEastAsia" w:hAnsiTheme="minorEastAsia"/>
          <w:sz w:val="24"/>
          <w:szCs w:val="24"/>
        </w:rPr>
      </w:pPr>
      <w:r w:rsidRPr="003B7531">
        <w:rPr>
          <w:rFonts w:asciiTheme="minorEastAsia" w:hAnsiTheme="minorEastAsia" w:hint="eastAsia"/>
          <w:sz w:val="24"/>
          <w:szCs w:val="24"/>
        </w:rPr>
        <w:t>4.获得分值累计在4分（含）以上，6分以下，成绩记为“合格”；</w:t>
      </w:r>
    </w:p>
    <w:p w:rsidR="003B7531" w:rsidRPr="003B7531" w:rsidRDefault="003B7531" w:rsidP="003B7531">
      <w:pPr>
        <w:pStyle w:val="a5"/>
        <w:ind w:left="480" w:firstLine="480"/>
        <w:jc w:val="left"/>
        <w:rPr>
          <w:rFonts w:asciiTheme="minorEastAsia" w:hAnsiTheme="minorEastAsia"/>
          <w:color w:val="FF0000"/>
          <w:sz w:val="24"/>
          <w:szCs w:val="24"/>
        </w:rPr>
      </w:pPr>
      <w:r w:rsidRPr="003B7531">
        <w:rPr>
          <w:rFonts w:asciiTheme="minorEastAsia" w:hAnsiTheme="minorEastAsia" w:hint="eastAsia"/>
          <w:color w:val="FF0000"/>
          <w:sz w:val="24"/>
          <w:szCs w:val="24"/>
        </w:rPr>
        <w:t>5.获得分值低于4分的，成绩记为“不合格”。</w:t>
      </w:r>
    </w:p>
    <w:p w:rsidR="003B7531" w:rsidRDefault="003B7531" w:rsidP="003B7531">
      <w:pPr>
        <w:pStyle w:val="a5"/>
        <w:ind w:left="480" w:firstLine="480"/>
        <w:jc w:val="left"/>
        <w:rPr>
          <w:rFonts w:asciiTheme="minorEastAsia" w:hAnsiTheme="minorEastAsia"/>
          <w:sz w:val="24"/>
          <w:szCs w:val="24"/>
        </w:rPr>
      </w:pPr>
      <w:r w:rsidRPr="003B7531">
        <w:rPr>
          <w:rFonts w:asciiTheme="minorEastAsia" w:hAnsiTheme="minorEastAsia" w:hint="eastAsia"/>
          <w:sz w:val="24"/>
          <w:szCs w:val="24"/>
        </w:rPr>
        <w:t>（四）对于双培、外培等在本校进行本科教育不足四年的学生，在学分认定上应考虑学生在外校取得的创新创业成果，同时依据在本校就读时间相应缩减分值要求，具体缩减量由教务处、学生处与各学院协商。</w:t>
      </w:r>
    </w:p>
    <w:p w:rsidR="006B437E" w:rsidRDefault="006B437E" w:rsidP="003B7531">
      <w:pPr>
        <w:pStyle w:val="a5"/>
        <w:ind w:left="480" w:firstLine="480"/>
        <w:jc w:val="left"/>
        <w:rPr>
          <w:rFonts w:asciiTheme="minorEastAsia" w:hAnsiTheme="minorEastAsia"/>
          <w:sz w:val="24"/>
          <w:szCs w:val="24"/>
        </w:rPr>
      </w:pPr>
    </w:p>
    <w:p w:rsidR="003B7531" w:rsidRPr="006B437E" w:rsidRDefault="003B7531" w:rsidP="006B437E">
      <w:pPr>
        <w:pStyle w:val="a5"/>
        <w:numPr>
          <w:ilvl w:val="0"/>
          <w:numId w:val="1"/>
        </w:numPr>
        <w:ind w:firstLineChars="0"/>
        <w:jc w:val="left"/>
        <w:rPr>
          <w:rFonts w:asciiTheme="minorEastAsia" w:hAnsiTheme="minorEastAsia"/>
          <w:sz w:val="24"/>
          <w:szCs w:val="24"/>
        </w:rPr>
      </w:pPr>
      <w:r w:rsidRPr="006B437E">
        <w:rPr>
          <w:rFonts w:asciiTheme="minorEastAsia" w:hAnsiTheme="minorEastAsia"/>
          <w:sz w:val="24"/>
          <w:szCs w:val="24"/>
        </w:rPr>
        <w:t>认定流程</w:t>
      </w:r>
    </w:p>
    <w:p w:rsidR="006B437E" w:rsidRPr="006B437E" w:rsidRDefault="006B437E" w:rsidP="006B437E">
      <w:pPr>
        <w:pStyle w:val="a5"/>
        <w:ind w:left="480" w:firstLine="480"/>
        <w:jc w:val="left"/>
        <w:rPr>
          <w:rFonts w:asciiTheme="minorEastAsia" w:hAnsiTheme="minorEastAsia"/>
          <w:sz w:val="24"/>
          <w:szCs w:val="24"/>
        </w:rPr>
      </w:pPr>
      <w:r w:rsidRPr="006B437E">
        <w:rPr>
          <w:rFonts w:asciiTheme="minorEastAsia" w:hAnsiTheme="minorEastAsia" w:hint="eastAsia"/>
          <w:sz w:val="24"/>
          <w:szCs w:val="24"/>
          <w:u w:val="single"/>
        </w:rPr>
        <w:t>（</w:t>
      </w:r>
      <w:r>
        <w:rPr>
          <w:rFonts w:asciiTheme="minorEastAsia" w:hAnsiTheme="minorEastAsia" w:hint="eastAsia"/>
          <w:sz w:val="24"/>
          <w:szCs w:val="24"/>
          <w:u w:val="single"/>
        </w:rPr>
        <w:t>一</w:t>
      </w:r>
      <w:r w:rsidRPr="006B437E">
        <w:rPr>
          <w:rFonts w:asciiTheme="minorEastAsia" w:hAnsiTheme="minorEastAsia" w:hint="eastAsia"/>
          <w:sz w:val="24"/>
          <w:szCs w:val="24"/>
          <w:u w:val="single"/>
        </w:rPr>
        <w:t>）</w:t>
      </w:r>
      <w:r>
        <w:rPr>
          <w:rFonts w:asciiTheme="minorEastAsia" w:hAnsiTheme="minorEastAsia" w:hint="eastAsia"/>
          <w:sz w:val="24"/>
          <w:szCs w:val="24"/>
          <w:u w:val="single"/>
        </w:rPr>
        <w:t>学生</w:t>
      </w:r>
      <w:r w:rsidRPr="006B437E">
        <w:rPr>
          <w:rFonts w:asciiTheme="minorEastAsia" w:hAnsiTheme="minorEastAsia" w:hint="eastAsia"/>
          <w:sz w:val="24"/>
          <w:szCs w:val="24"/>
          <w:u w:val="single"/>
        </w:rPr>
        <w:t>应</w:t>
      </w:r>
      <w:r>
        <w:rPr>
          <w:rFonts w:asciiTheme="minorEastAsia" w:hAnsiTheme="minorEastAsia" w:hint="eastAsia"/>
          <w:sz w:val="24"/>
          <w:szCs w:val="24"/>
          <w:u w:val="single"/>
        </w:rPr>
        <w:t>在</w:t>
      </w:r>
      <w:r>
        <w:rPr>
          <w:rFonts w:asciiTheme="minorEastAsia" w:hAnsiTheme="minorEastAsia"/>
          <w:sz w:val="24"/>
          <w:szCs w:val="24"/>
          <w:u w:val="single"/>
        </w:rPr>
        <w:t>规定时间</w:t>
      </w:r>
      <w:r>
        <w:rPr>
          <w:rFonts w:asciiTheme="minorEastAsia" w:hAnsiTheme="minorEastAsia" w:hint="eastAsia"/>
          <w:sz w:val="24"/>
          <w:szCs w:val="24"/>
          <w:u w:val="single"/>
        </w:rPr>
        <w:t>内</w:t>
      </w:r>
      <w:r w:rsidR="001F2B9B">
        <w:rPr>
          <w:rFonts w:asciiTheme="minorEastAsia" w:hAnsiTheme="minorEastAsia" w:hint="eastAsia"/>
          <w:sz w:val="24"/>
          <w:szCs w:val="24"/>
          <w:u w:val="single"/>
        </w:rPr>
        <w:t>在系统中</w:t>
      </w:r>
      <w:r w:rsidRPr="006B437E">
        <w:rPr>
          <w:rFonts w:asciiTheme="minorEastAsia" w:hAnsiTheme="minorEastAsia" w:hint="eastAsia"/>
          <w:sz w:val="24"/>
          <w:szCs w:val="24"/>
          <w:u w:val="single"/>
        </w:rPr>
        <w:t>填写并提交《首都经济贸易大学本科生创新创业学分申请表》和各类证明材料。（系统</w:t>
      </w:r>
      <w:r w:rsidR="001F2B9B">
        <w:rPr>
          <w:rFonts w:asciiTheme="minorEastAsia" w:hAnsiTheme="minorEastAsia" w:hint="eastAsia"/>
          <w:sz w:val="24"/>
          <w:szCs w:val="24"/>
          <w:u w:val="single"/>
        </w:rPr>
        <w:t>预计12月份</w:t>
      </w:r>
      <w:r w:rsidR="001F2B9B">
        <w:rPr>
          <w:rFonts w:asciiTheme="minorEastAsia" w:hAnsiTheme="minorEastAsia"/>
          <w:sz w:val="24"/>
          <w:szCs w:val="24"/>
          <w:u w:val="single"/>
        </w:rPr>
        <w:t>上线</w:t>
      </w:r>
      <w:r w:rsidRPr="006B437E">
        <w:rPr>
          <w:rFonts w:asciiTheme="minorEastAsia" w:hAnsiTheme="minorEastAsia" w:hint="eastAsia"/>
          <w:sz w:val="24"/>
          <w:szCs w:val="24"/>
          <w:u w:val="single"/>
        </w:rPr>
        <w:t>）</w:t>
      </w:r>
    </w:p>
    <w:p w:rsidR="006B437E" w:rsidRPr="006B437E" w:rsidRDefault="006B437E" w:rsidP="006B437E">
      <w:pPr>
        <w:pStyle w:val="a5"/>
        <w:ind w:left="480" w:firstLine="480"/>
        <w:jc w:val="left"/>
        <w:rPr>
          <w:rFonts w:asciiTheme="minorEastAsia" w:hAnsiTheme="minorEastAsia"/>
          <w:sz w:val="24"/>
          <w:szCs w:val="24"/>
        </w:rPr>
      </w:pPr>
      <w:r w:rsidRPr="006B437E">
        <w:rPr>
          <w:rFonts w:asciiTheme="minorEastAsia" w:hAnsiTheme="minorEastAsia" w:hint="eastAsia"/>
          <w:sz w:val="24"/>
          <w:szCs w:val="24"/>
          <w:u w:val="single"/>
        </w:rPr>
        <w:t>（三）</w:t>
      </w:r>
      <w:r w:rsidR="001F2B9B">
        <w:rPr>
          <w:rFonts w:asciiTheme="minorEastAsia" w:hAnsiTheme="minorEastAsia" w:hint="eastAsia"/>
          <w:sz w:val="24"/>
          <w:szCs w:val="24"/>
          <w:u w:val="single"/>
        </w:rPr>
        <w:t>经</w:t>
      </w:r>
      <w:r w:rsidRPr="006B437E">
        <w:rPr>
          <w:rFonts w:asciiTheme="minorEastAsia" w:hAnsiTheme="minorEastAsia" w:hint="eastAsia"/>
          <w:sz w:val="24"/>
          <w:szCs w:val="24"/>
          <w:u w:val="single"/>
        </w:rPr>
        <w:t>学院创新创业学分认定小组审核、认定</w:t>
      </w:r>
      <w:r w:rsidR="001F2B9B">
        <w:rPr>
          <w:rFonts w:asciiTheme="minorEastAsia" w:hAnsiTheme="minorEastAsia" w:hint="eastAsia"/>
          <w:sz w:val="24"/>
          <w:szCs w:val="24"/>
          <w:u w:val="single"/>
        </w:rPr>
        <w:t>、</w:t>
      </w:r>
      <w:r w:rsidRPr="006B437E">
        <w:rPr>
          <w:rFonts w:asciiTheme="minorEastAsia" w:hAnsiTheme="minorEastAsia" w:hint="eastAsia"/>
          <w:sz w:val="24"/>
          <w:szCs w:val="24"/>
          <w:u w:val="single"/>
        </w:rPr>
        <w:t>公示</w:t>
      </w:r>
      <w:r w:rsidR="001F2B9B">
        <w:rPr>
          <w:rFonts w:asciiTheme="minorEastAsia" w:hAnsiTheme="minorEastAsia" w:hint="eastAsia"/>
          <w:sz w:val="24"/>
          <w:szCs w:val="24"/>
          <w:u w:val="single"/>
        </w:rPr>
        <w:t>，公示无异议后</w:t>
      </w:r>
      <w:r w:rsidRPr="006B437E">
        <w:rPr>
          <w:rFonts w:asciiTheme="minorEastAsia" w:hAnsiTheme="minorEastAsia" w:hint="eastAsia"/>
          <w:sz w:val="24"/>
          <w:szCs w:val="24"/>
          <w:u w:val="single"/>
        </w:rPr>
        <w:t>统一录入教务管理系统，载入成绩单，名称为“创新创业”，计2学分。</w:t>
      </w:r>
    </w:p>
    <w:p w:rsidR="006B437E" w:rsidRPr="006B437E" w:rsidRDefault="006B437E" w:rsidP="006B437E">
      <w:pPr>
        <w:pStyle w:val="a5"/>
        <w:ind w:left="480" w:firstLine="480"/>
        <w:jc w:val="left"/>
        <w:rPr>
          <w:rFonts w:asciiTheme="minorEastAsia" w:hAnsiTheme="minorEastAsia"/>
          <w:sz w:val="24"/>
          <w:szCs w:val="24"/>
        </w:rPr>
      </w:pPr>
      <w:r w:rsidRPr="006B437E">
        <w:rPr>
          <w:rFonts w:asciiTheme="minorEastAsia" w:hAnsiTheme="minorEastAsia" w:hint="eastAsia"/>
          <w:sz w:val="24"/>
          <w:szCs w:val="24"/>
        </w:rPr>
        <w:t>（四）学生对认定的创新创业学分有异议时，可以向学院创新创业学分认定小组提出书面复核申请。经学院复核后仍存异议者，可由相关部门进行核查。对弄虚作假者，学校将根据相关规定给予相应的纪律处分。</w:t>
      </w:r>
    </w:p>
    <w:p w:rsidR="006B437E" w:rsidRPr="006B437E" w:rsidRDefault="006B437E" w:rsidP="006B437E">
      <w:pPr>
        <w:pStyle w:val="a5"/>
        <w:ind w:left="480" w:firstLineChars="0" w:firstLine="0"/>
        <w:jc w:val="left"/>
        <w:rPr>
          <w:rFonts w:asciiTheme="minorEastAsia" w:hAnsiTheme="minorEastAsia"/>
          <w:sz w:val="24"/>
          <w:szCs w:val="24"/>
        </w:rPr>
      </w:pPr>
    </w:p>
    <w:p w:rsidR="003B7531" w:rsidRPr="001F2B9B" w:rsidRDefault="001F2B9B" w:rsidP="001F2B9B">
      <w:pPr>
        <w:pStyle w:val="a5"/>
        <w:numPr>
          <w:ilvl w:val="0"/>
          <w:numId w:val="1"/>
        </w:numPr>
        <w:ind w:firstLineChars="0"/>
        <w:jc w:val="left"/>
        <w:rPr>
          <w:rFonts w:asciiTheme="minorEastAsia" w:hAnsiTheme="minorEastAsia"/>
          <w:sz w:val="24"/>
          <w:szCs w:val="24"/>
        </w:rPr>
      </w:pPr>
      <w:r w:rsidRPr="001F2B9B">
        <w:rPr>
          <w:rFonts w:asciiTheme="minorEastAsia" w:hAnsiTheme="minorEastAsia"/>
          <w:sz w:val="24"/>
          <w:szCs w:val="24"/>
        </w:rPr>
        <w:t>认定标准解读</w:t>
      </w:r>
    </w:p>
    <w:p w:rsidR="001F2B9B" w:rsidRDefault="005F2F77" w:rsidP="001F2B9B">
      <w:pPr>
        <w:pStyle w:val="a5"/>
        <w:ind w:left="480" w:firstLineChars="0" w:firstLine="0"/>
        <w:jc w:val="left"/>
        <w:rPr>
          <w:noProof/>
        </w:rPr>
      </w:pPr>
      <w:r>
        <w:rPr>
          <w:rFonts w:hint="eastAsia"/>
          <w:noProof/>
        </w:rPr>
        <w:t>（一）</w:t>
      </w:r>
      <w:r w:rsidR="001F2B9B" w:rsidRPr="001F2B9B">
        <w:rPr>
          <w:rFonts w:asciiTheme="minorEastAsia" w:hAnsiTheme="minorEastAsia"/>
          <w:noProof/>
          <w:sz w:val="24"/>
          <w:szCs w:val="24"/>
        </w:rPr>
        <w:drawing>
          <wp:inline distT="0" distB="0" distL="0" distR="0" wp14:anchorId="6B5AF129" wp14:editId="6A9AD5B4">
            <wp:extent cx="5274310" cy="2850515"/>
            <wp:effectExtent l="0" t="0" r="2540" b="698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2850515"/>
                    </a:xfrm>
                    <a:prstGeom prst="rect">
                      <a:avLst/>
                    </a:prstGeom>
                  </pic:spPr>
                </pic:pic>
              </a:graphicData>
            </a:graphic>
          </wp:inline>
        </w:drawing>
      </w:r>
    </w:p>
    <w:p w:rsidR="001F2B9B" w:rsidRPr="001F2B9B" w:rsidRDefault="001F2B9B" w:rsidP="001F2B9B">
      <w:pPr>
        <w:pStyle w:val="a5"/>
        <w:ind w:left="480" w:firstLine="480"/>
        <w:jc w:val="left"/>
        <w:rPr>
          <w:rFonts w:asciiTheme="minorEastAsia" w:hAnsiTheme="minorEastAsia"/>
          <w:sz w:val="24"/>
          <w:szCs w:val="24"/>
        </w:rPr>
      </w:pPr>
      <w:r w:rsidRPr="001F2B9B">
        <w:rPr>
          <w:rFonts w:asciiTheme="minorEastAsia" w:hAnsiTheme="minorEastAsia" w:hint="eastAsia"/>
          <w:sz w:val="24"/>
          <w:szCs w:val="24"/>
        </w:rPr>
        <w:lastRenderedPageBreak/>
        <w:t>1.“学术作品发表“发明专利及软件著作”两项含金量高，但准备周期长。</w:t>
      </w:r>
    </w:p>
    <w:p w:rsidR="001F2B9B" w:rsidRPr="001F2B9B" w:rsidRDefault="001F2B9B" w:rsidP="001F2B9B">
      <w:pPr>
        <w:pStyle w:val="a5"/>
        <w:ind w:left="480" w:firstLine="480"/>
        <w:jc w:val="left"/>
        <w:rPr>
          <w:rFonts w:asciiTheme="minorEastAsia" w:hAnsiTheme="minorEastAsia"/>
          <w:sz w:val="24"/>
          <w:szCs w:val="24"/>
        </w:rPr>
      </w:pPr>
      <w:r w:rsidRPr="001F2B9B">
        <w:rPr>
          <w:rFonts w:asciiTheme="minorEastAsia" w:hAnsiTheme="minorEastAsia" w:hint="eastAsia"/>
          <w:sz w:val="24"/>
          <w:szCs w:val="24"/>
        </w:rPr>
        <w:t>2.“学术作品发表”认定可参考</w:t>
      </w:r>
      <w:hyperlink r:id="rId8" w:history="1">
        <w:r w:rsidRPr="001F2B9B">
          <w:rPr>
            <w:rStyle w:val="a7"/>
            <w:rFonts w:asciiTheme="minorEastAsia" w:hAnsiTheme="minorEastAsia" w:hint="eastAsia"/>
            <w:b/>
            <w:bCs/>
            <w:sz w:val="24"/>
            <w:szCs w:val="24"/>
          </w:rPr>
          <w:t>科研处关于国内外期刊的确认目录。</w:t>
        </w:r>
      </w:hyperlink>
    </w:p>
    <w:p w:rsidR="001F2B9B" w:rsidRPr="001F2B9B" w:rsidRDefault="001F2B9B" w:rsidP="001F2B9B">
      <w:pPr>
        <w:pStyle w:val="a5"/>
        <w:ind w:left="480" w:firstLine="480"/>
        <w:jc w:val="left"/>
        <w:rPr>
          <w:rFonts w:asciiTheme="minorEastAsia" w:hAnsiTheme="minorEastAsia"/>
          <w:sz w:val="24"/>
          <w:szCs w:val="24"/>
        </w:rPr>
      </w:pPr>
      <w:r w:rsidRPr="001F2B9B">
        <w:rPr>
          <w:rFonts w:asciiTheme="minorEastAsia" w:hAnsiTheme="minorEastAsia" w:hint="eastAsia"/>
          <w:sz w:val="24"/>
          <w:szCs w:val="24"/>
        </w:rPr>
        <w:t>3.</w:t>
      </w:r>
      <w:r w:rsidRPr="001F2B9B">
        <w:rPr>
          <w:rFonts w:asciiTheme="minorEastAsia" w:hAnsiTheme="minorEastAsia" w:hint="eastAsia"/>
          <w:b/>
          <w:bCs/>
          <w:color w:val="FF0000"/>
          <w:sz w:val="24"/>
          <w:szCs w:val="24"/>
        </w:rPr>
        <w:t>校级大科创</w:t>
      </w:r>
      <w:r w:rsidRPr="001F2B9B">
        <w:rPr>
          <w:rFonts w:asciiTheme="minorEastAsia" w:hAnsiTheme="minorEastAsia" w:hint="eastAsia"/>
          <w:sz w:val="24"/>
          <w:szCs w:val="24"/>
        </w:rPr>
        <w:t>立项并成功结题，组长获2分，成员获1分。</w:t>
      </w:r>
    </w:p>
    <w:p w:rsidR="001F2B9B" w:rsidRDefault="005F2F77" w:rsidP="001F2B9B">
      <w:pPr>
        <w:pStyle w:val="a5"/>
        <w:ind w:left="480" w:firstLineChars="0" w:firstLine="0"/>
        <w:jc w:val="left"/>
        <w:rPr>
          <w:rFonts w:asciiTheme="minorEastAsia" w:hAnsiTheme="minorEastAsia"/>
          <w:sz w:val="24"/>
          <w:szCs w:val="24"/>
        </w:rPr>
      </w:pPr>
      <w:r>
        <w:rPr>
          <w:rFonts w:asciiTheme="minorEastAsia" w:hAnsiTheme="minorEastAsia" w:hint="eastAsia"/>
          <w:sz w:val="24"/>
          <w:szCs w:val="24"/>
        </w:rPr>
        <w:t>（二）</w:t>
      </w:r>
      <w:r w:rsidR="001F2B9B" w:rsidRPr="001F2B9B">
        <w:rPr>
          <w:rFonts w:asciiTheme="minorEastAsia" w:hAnsiTheme="minorEastAsia"/>
          <w:noProof/>
          <w:sz w:val="24"/>
          <w:szCs w:val="24"/>
        </w:rPr>
        <w:drawing>
          <wp:inline distT="0" distB="0" distL="0" distR="0" wp14:anchorId="1B2359B3" wp14:editId="7E312471">
            <wp:extent cx="5274310" cy="868045"/>
            <wp:effectExtent l="0" t="0" r="254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868045"/>
                    </a:xfrm>
                    <a:prstGeom prst="rect">
                      <a:avLst/>
                    </a:prstGeom>
                  </pic:spPr>
                </pic:pic>
              </a:graphicData>
            </a:graphic>
          </wp:inline>
        </w:drawing>
      </w:r>
    </w:p>
    <w:p w:rsidR="001F2B9B" w:rsidRPr="001F2B9B" w:rsidRDefault="001F2B9B" w:rsidP="001F2B9B">
      <w:pPr>
        <w:pStyle w:val="a5"/>
        <w:numPr>
          <w:ilvl w:val="0"/>
          <w:numId w:val="2"/>
        </w:numPr>
        <w:ind w:firstLineChars="0"/>
        <w:rPr>
          <w:rFonts w:asciiTheme="minorEastAsia" w:hAnsiTheme="minorEastAsia"/>
        </w:rPr>
      </w:pPr>
      <w:r w:rsidRPr="001F2B9B">
        <w:rPr>
          <w:rFonts w:asciiTheme="minorEastAsia" w:hAnsiTheme="minorEastAsia" w:hint="eastAsia"/>
        </w:rPr>
        <w:t>“学科竞赛类”以教务处认定的学科竞赛目录为准，按照最高项认定，分值不累加。</w:t>
      </w:r>
      <w:r>
        <w:rPr>
          <w:rFonts w:asciiTheme="minorEastAsia" w:hAnsiTheme="minorEastAsia" w:hint="eastAsia"/>
        </w:rPr>
        <w:t>（</w:t>
      </w:r>
      <w:r w:rsidRPr="001F2B9B">
        <w:rPr>
          <w:rFonts w:asciiTheme="minorEastAsia" w:hAnsiTheme="minorEastAsia" w:hint="eastAsia"/>
        </w:rPr>
        <w:t>教务处关于竞赛项目认定的目录</w:t>
      </w:r>
      <w:r>
        <w:rPr>
          <w:rFonts w:asciiTheme="minorEastAsia" w:hAnsiTheme="minorEastAsia" w:hint="eastAsia"/>
        </w:rPr>
        <w:t>详见</w:t>
      </w:r>
      <w:r>
        <w:rPr>
          <w:rFonts w:asciiTheme="minorEastAsia" w:hAnsiTheme="minorEastAsia"/>
        </w:rPr>
        <w:t>附件</w:t>
      </w:r>
      <w:bookmarkStart w:id="0" w:name="_GoBack"/>
      <w:bookmarkEnd w:id="0"/>
      <w:r>
        <w:rPr>
          <w:rFonts w:asciiTheme="minorEastAsia" w:hAnsiTheme="minorEastAsia" w:hint="eastAsia"/>
        </w:rPr>
        <w:t>）</w:t>
      </w:r>
    </w:p>
    <w:p w:rsidR="001F2B9B" w:rsidRDefault="005F2F77" w:rsidP="001F2B9B">
      <w:pPr>
        <w:pStyle w:val="a5"/>
        <w:ind w:left="480" w:firstLineChars="0" w:firstLine="0"/>
        <w:jc w:val="left"/>
        <w:rPr>
          <w:rFonts w:asciiTheme="minorEastAsia" w:hAnsiTheme="minorEastAsia"/>
          <w:sz w:val="24"/>
          <w:szCs w:val="24"/>
        </w:rPr>
      </w:pPr>
      <w:r>
        <w:rPr>
          <w:rFonts w:asciiTheme="minorEastAsia" w:hAnsiTheme="minorEastAsia" w:hint="eastAsia"/>
          <w:sz w:val="24"/>
          <w:szCs w:val="24"/>
        </w:rPr>
        <w:t>（三）</w:t>
      </w:r>
      <w:r w:rsidR="001F2B9B" w:rsidRPr="001F2B9B">
        <w:rPr>
          <w:rFonts w:asciiTheme="minorEastAsia" w:hAnsiTheme="minorEastAsia"/>
          <w:noProof/>
          <w:sz w:val="24"/>
          <w:szCs w:val="24"/>
        </w:rPr>
        <w:drawing>
          <wp:inline distT="0" distB="0" distL="0" distR="0" wp14:anchorId="384860D7" wp14:editId="2B28385E">
            <wp:extent cx="5274310" cy="24091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0">
                      <a:extLst>
                        <a:ext uri="{28A0092B-C50C-407E-A947-70E740481C1C}">
                          <a14:useLocalDpi xmlns:a14="http://schemas.microsoft.com/office/drawing/2010/main" val="0"/>
                        </a:ext>
                      </a:extLst>
                    </a:blip>
                    <a:srcRect t="25901"/>
                    <a:stretch/>
                  </pic:blipFill>
                  <pic:spPr>
                    <a:xfrm>
                      <a:off x="0" y="0"/>
                      <a:ext cx="5274310" cy="2409190"/>
                    </a:xfrm>
                    <a:prstGeom prst="rect">
                      <a:avLst/>
                    </a:prstGeom>
                  </pic:spPr>
                </pic:pic>
              </a:graphicData>
            </a:graphic>
          </wp:inline>
        </w:drawing>
      </w:r>
    </w:p>
    <w:p w:rsidR="001F2B9B" w:rsidRPr="005F2F77" w:rsidRDefault="001F2B9B" w:rsidP="001F2B9B">
      <w:pPr>
        <w:pStyle w:val="a5"/>
        <w:ind w:left="480" w:firstLine="480"/>
        <w:jc w:val="left"/>
        <w:rPr>
          <w:rFonts w:asciiTheme="minorEastAsia" w:hAnsiTheme="minorEastAsia"/>
          <w:color w:val="FF0000"/>
          <w:sz w:val="24"/>
          <w:szCs w:val="24"/>
        </w:rPr>
      </w:pPr>
      <w:r w:rsidRPr="001F2B9B">
        <w:rPr>
          <w:rFonts w:asciiTheme="minorEastAsia" w:hAnsiTheme="minorEastAsia" w:hint="eastAsia"/>
          <w:sz w:val="24"/>
          <w:szCs w:val="24"/>
        </w:rPr>
        <w:t>1.创业沙龙、创业工作坊、创业类训练营、创业沙盘类实训等创业教育类活动都能认定创新创业学分学时。</w:t>
      </w:r>
      <w:r w:rsidRPr="005F2F77">
        <w:rPr>
          <w:rFonts w:asciiTheme="minorEastAsia" w:hAnsiTheme="minorEastAsia" w:hint="eastAsia"/>
          <w:color w:val="FF0000"/>
          <w:sz w:val="24"/>
          <w:szCs w:val="24"/>
        </w:rPr>
        <w:t>特别提示：创客体验日属于创业工作坊（3学时/期），但若重复参加多期体验日，不累加学时；创业教育类活动的学时可以与生涯规划培训累加后认定分值。</w:t>
      </w:r>
    </w:p>
    <w:p w:rsidR="001F2B9B" w:rsidRDefault="001F2B9B" w:rsidP="001F2B9B">
      <w:pPr>
        <w:pStyle w:val="a5"/>
        <w:ind w:left="482" w:firstLine="480"/>
        <w:jc w:val="left"/>
        <w:rPr>
          <w:rFonts w:asciiTheme="minorEastAsia" w:hAnsiTheme="minorEastAsia"/>
          <w:sz w:val="24"/>
          <w:szCs w:val="24"/>
        </w:rPr>
      </w:pPr>
      <w:r w:rsidRPr="001F2B9B">
        <w:rPr>
          <w:rFonts w:asciiTheme="minorEastAsia" w:hAnsiTheme="minorEastAsia" w:hint="eastAsia"/>
          <w:sz w:val="24"/>
          <w:szCs w:val="24"/>
        </w:rPr>
        <w:t>2.</w:t>
      </w:r>
      <w:r w:rsidRPr="005F2F77">
        <w:rPr>
          <w:rFonts w:asciiTheme="minorEastAsia" w:hAnsiTheme="minorEastAsia" w:hint="eastAsia"/>
          <w:b/>
          <w:bCs/>
          <w:color w:val="FF0000"/>
          <w:sz w:val="24"/>
          <w:szCs w:val="24"/>
        </w:rPr>
        <w:t>校级大科创</w:t>
      </w:r>
      <w:r w:rsidRPr="001F2B9B">
        <w:rPr>
          <w:rFonts w:asciiTheme="minorEastAsia" w:hAnsiTheme="minorEastAsia" w:hint="eastAsia"/>
          <w:sz w:val="24"/>
          <w:szCs w:val="24"/>
        </w:rPr>
        <w:t>立项并成功结题，组长获2分，成员获1分。与上表“创新训练项目”相同，不重复认定</w:t>
      </w:r>
      <w:r>
        <w:rPr>
          <w:rFonts w:asciiTheme="minorEastAsia" w:hAnsiTheme="minorEastAsia" w:hint="eastAsia"/>
          <w:sz w:val="24"/>
          <w:szCs w:val="24"/>
        </w:rPr>
        <w:t>。</w:t>
      </w:r>
    </w:p>
    <w:p w:rsidR="001F2B9B" w:rsidRDefault="001F2B9B" w:rsidP="005F2F77">
      <w:pPr>
        <w:pStyle w:val="a5"/>
        <w:ind w:left="482" w:firstLine="480"/>
        <w:rPr>
          <w:rFonts w:asciiTheme="minorEastAsia" w:hAnsiTheme="minorEastAsia"/>
        </w:rPr>
      </w:pPr>
      <w:r>
        <w:rPr>
          <w:rFonts w:asciiTheme="minorEastAsia" w:hAnsiTheme="minorEastAsia" w:hint="eastAsia"/>
          <w:sz w:val="24"/>
          <w:szCs w:val="24"/>
        </w:rPr>
        <w:t>3.</w:t>
      </w:r>
      <w:r w:rsidR="005F2F77" w:rsidRPr="005F2F77">
        <w:rPr>
          <w:rFonts w:asciiTheme="minorEastAsia" w:hAnsiTheme="minorEastAsia" w:hint="eastAsia"/>
          <w:sz w:val="24"/>
          <w:szCs w:val="24"/>
        </w:rPr>
        <w:t>学习我校创新创业慕课，后台可直接导出合格同学名单，予以认定创新创业分值，</w:t>
      </w:r>
      <w:r w:rsidR="005F2F77" w:rsidRPr="005F2F77">
        <w:rPr>
          <w:rFonts w:asciiTheme="minorEastAsia" w:hAnsiTheme="minorEastAsia" w:hint="eastAsia"/>
          <w:color w:val="FF0000"/>
          <w:sz w:val="24"/>
          <w:szCs w:val="24"/>
        </w:rPr>
        <w:t>无须购买纸质证书</w:t>
      </w:r>
      <w:r w:rsidR="005F2F77" w:rsidRPr="005F2F77">
        <w:rPr>
          <w:rFonts w:asciiTheme="minorEastAsia" w:hAnsiTheme="minorEastAsia" w:hint="eastAsia"/>
          <w:sz w:val="24"/>
          <w:szCs w:val="24"/>
        </w:rPr>
        <w:t>。（外校创新创业慕课，学分认定需提供相应证书。）</w:t>
      </w:r>
      <w:r w:rsidRPr="005F2F77">
        <w:rPr>
          <w:rFonts w:asciiTheme="minorEastAsia" w:hAnsiTheme="minorEastAsia" w:hint="eastAsia"/>
          <w:sz w:val="24"/>
          <w:szCs w:val="24"/>
        </w:rPr>
        <w:t xml:space="preserve"> </w:t>
      </w:r>
      <w:r w:rsidRPr="001F2B9B">
        <w:rPr>
          <w:rFonts w:asciiTheme="minorEastAsia" w:hAnsiTheme="minorEastAsia" w:hint="eastAsia"/>
          <w:sz w:val="24"/>
          <w:szCs w:val="24"/>
        </w:rPr>
        <w:t>我校慕课《创业团队建设与管理》，网址：</w:t>
      </w:r>
      <w:hyperlink r:id="rId11" w:history="1">
        <w:r w:rsidRPr="005F2F77">
          <w:rPr>
            <w:rStyle w:val="a7"/>
            <w:rFonts w:asciiTheme="minorEastAsia" w:hAnsiTheme="minorEastAsia" w:hint="eastAsia"/>
            <w:b/>
            <w:bCs/>
          </w:rPr>
          <w:t>https://www.icourse163.org/course/CUEB-1002015029</w:t>
        </w:r>
      </w:hyperlink>
    </w:p>
    <w:p w:rsidR="005F2F77" w:rsidRDefault="005F2F77">
      <w:pPr>
        <w:widowControl/>
        <w:jc w:val="left"/>
        <w:rPr>
          <w:rFonts w:asciiTheme="minorEastAsia" w:hAnsiTheme="minorEastAsia"/>
          <w:sz w:val="24"/>
          <w:szCs w:val="24"/>
        </w:rPr>
      </w:pPr>
      <w:r>
        <w:rPr>
          <w:rFonts w:asciiTheme="minorEastAsia" w:hAnsiTheme="minorEastAsia"/>
          <w:sz w:val="24"/>
          <w:szCs w:val="24"/>
        </w:rPr>
        <w:br w:type="page"/>
      </w:r>
    </w:p>
    <w:p w:rsidR="005F2F77" w:rsidRDefault="005F2F77" w:rsidP="005F2F77">
      <w:pPr>
        <w:pStyle w:val="a5"/>
        <w:ind w:left="482" w:firstLine="480"/>
        <w:rPr>
          <w:rFonts w:asciiTheme="minorEastAsia" w:hAnsiTheme="minorEastAsia"/>
          <w:sz w:val="24"/>
          <w:szCs w:val="24"/>
        </w:rPr>
      </w:pPr>
      <w:r>
        <w:rPr>
          <w:rFonts w:asciiTheme="minorEastAsia" w:hAnsiTheme="minorEastAsia" w:hint="eastAsia"/>
          <w:sz w:val="24"/>
          <w:szCs w:val="24"/>
        </w:rPr>
        <w:lastRenderedPageBreak/>
        <w:t>（四）</w:t>
      </w:r>
    </w:p>
    <w:p w:rsidR="005F2F77" w:rsidRPr="005F2F77" w:rsidRDefault="005F2F77" w:rsidP="005F2F77">
      <w:pPr>
        <w:pStyle w:val="a5"/>
        <w:ind w:left="482" w:firstLine="480"/>
        <w:rPr>
          <w:rFonts w:asciiTheme="minorEastAsia" w:hAnsiTheme="minorEastAsia"/>
          <w:sz w:val="24"/>
          <w:szCs w:val="24"/>
        </w:rPr>
      </w:pPr>
      <w:r w:rsidRPr="005F2F77">
        <w:rPr>
          <w:rFonts w:asciiTheme="minorEastAsia" w:hAnsiTheme="minorEastAsia"/>
          <w:noProof/>
          <w:sz w:val="24"/>
          <w:szCs w:val="24"/>
        </w:rPr>
        <w:drawing>
          <wp:inline distT="0" distB="0" distL="0" distR="0" wp14:anchorId="70292B1D" wp14:editId="47E09085">
            <wp:extent cx="5274310" cy="2687320"/>
            <wp:effectExtent l="0" t="0" r="254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4310" cy="2687320"/>
                    </a:xfrm>
                    <a:prstGeom prst="rect">
                      <a:avLst/>
                    </a:prstGeom>
                  </pic:spPr>
                </pic:pic>
              </a:graphicData>
            </a:graphic>
          </wp:inline>
        </w:drawing>
      </w:r>
    </w:p>
    <w:p w:rsidR="005F2F77" w:rsidRPr="005F2F77" w:rsidRDefault="005F2F77" w:rsidP="005F2F77">
      <w:pPr>
        <w:pStyle w:val="a5"/>
        <w:ind w:left="482" w:firstLine="480"/>
        <w:jc w:val="left"/>
        <w:rPr>
          <w:rFonts w:asciiTheme="minorEastAsia" w:hAnsiTheme="minorEastAsia"/>
          <w:sz w:val="24"/>
          <w:szCs w:val="24"/>
        </w:rPr>
      </w:pPr>
      <w:r w:rsidRPr="005F2F77">
        <w:rPr>
          <w:rFonts w:asciiTheme="minorEastAsia" w:hAnsiTheme="minorEastAsia" w:hint="eastAsia"/>
          <w:sz w:val="24"/>
          <w:szCs w:val="24"/>
        </w:rPr>
        <w:t>1.创业类大赛，如：获得校级创业大赛参赛资格并参加初赛，即可获得一分。（若与上表“参加各级各类学科竞赛”项目相同，不重复认定。）</w:t>
      </w:r>
    </w:p>
    <w:p w:rsidR="005F2F77" w:rsidRPr="005F2F77" w:rsidRDefault="005F2F77" w:rsidP="005F2F77">
      <w:pPr>
        <w:pStyle w:val="a5"/>
        <w:ind w:left="482" w:firstLine="480"/>
        <w:jc w:val="left"/>
        <w:rPr>
          <w:rFonts w:asciiTheme="minorEastAsia" w:hAnsiTheme="minorEastAsia"/>
          <w:sz w:val="24"/>
          <w:szCs w:val="24"/>
        </w:rPr>
      </w:pPr>
      <w:r w:rsidRPr="005F2F77">
        <w:rPr>
          <w:rFonts w:asciiTheme="minorEastAsia" w:hAnsiTheme="minorEastAsia" w:hint="eastAsia"/>
          <w:sz w:val="24"/>
          <w:szCs w:val="24"/>
        </w:rPr>
        <w:t>2.创业实践，需要说明的是“其他”这一项指的是，已经落地在做的创新创业项目且有盈利但是还未进行正式注册的项目。</w:t>
      </w:r>
    </w:p>
    <w:p w:rsidR="005F2F77" w:rsidRPr="005F2F77" w:rsidRDefault="005F2F77" w:rsidP="005F2F77">
      <w:pPr>
        <w:pStyle w:val="a5"/>
        <w:ind w:left="482" w:firstLine="480"/>
        <w:jc w:val="left"/>
        <w:rPr>
          <w:rFonts w:asciiTheme="minorEastAsia" w:hAnsiTheme="minorEastAsia"/>
          <w:sz w:val="24"/>
          <w:szCs w:val="24"/>
        </w:rPr>
      </w:pPr>
      <w:r w:rsidRPr="005F2F77">
        <w:rPr>
          <w:rFonts w:asciiTheme="minorEastAsia" w:hAnsiTheme="minorEastAsia" w:hint="eastAsia"/>
          <w:sz w:val="24"/>
          <w:szCs w:val="24"/>
        </w:rPr>
        <w:t>3.“企业注册”部分分值比较高，认定较为严格，需要在企业注册前向学校申报备案。</w:t>
      </w:r>
    </w:p>
    <w:p w:rsidR="001F2B9B" w:rsidRDefault="005F2F77" w:rsidP="001F2B9B">
      <w:pPr>
        <w:pStyle w:val="a5"/>
        <w:ind w:left="482" w:firstLine="480"/>
        <w:jc w:val="left"/>
        <w:rPr>
          <w:rFonts w:asciiTheme="minorEastAsia" w:hAnsiTheme="minorEastAsia"/>
          <w:sz w:val="24"/>
          <w:szCs w:val="24"/>
        </w:rPr>
      </w:pPr>
      <w:r>
        <w:rPr>
          <w:rFonts w:asciiTheme="minorEastAsia" w:hAnsiTheme="minorEastAsia" w:hint="eastAsia"/>
          <w:sz w:val="24"/>
          <w:szCs w:val="24"/>
        </w:rPr>
        <w:t>（五）</w:t>
      </w:r>
      <w:r w:rsidRPr="005F2F77">
        <w:rPr>
          <w:rFonts w:asciiTheme="minorEastAsia" w:hAnsiTheme="minorEastAsia"/>
          <w:noProof/>
          <w:sz w:val="24"/>
          <w:szCs w:val="24"/>
        </w:rPr>
        <w:drawing>
          <wp:inline distT="0" distB="0" distL="0" distR="0" wp14:anchorId="1499896E" wp14:editId="32900390">
            <wp:extent cx="5274310" cy="1636395"/>
            <wp:effectExtent l="0" t="0" r="2540" b="190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74310" cy="1636395"/>
                    </a:xfrm>
                    <a:prstGeom prst="rect">
                      <a:avLst/>
                    </a:prstGeom>
                  </pic:spPr>
                </pic:pic>
              </a:graphicData>
            </a:graphic>
          </wp:inline>
        </w:drawing>
      </w:r>
    </w:p>
    <w:p w:rsidR="005F2F77" w:rsidRPr="005F2F77" w:rsidRDefault="005F2F77" w:rsidP="005F2F77">
      <w:pPr>
        <w:pStyle w:val="a5"/>
        <w:ind w:left="482" w:firstLine="480"/>
        <w:jc w:val="left"/>
        <w:rPr>
          <w:rFonts w:asciiTheme="minorEastAsia" w:hAnsiTheme="minorEastAsia"/>
          <w:sz w:val="24"/>
          <w:szCs w:val="24"/>
        </w:rPr>
      </w:pPr>
      <w:r w:rsidRPr="005F2F77">
        <w:rPr>
          <w:rFonts w:asciiTheme="minorEastAsia" w:hAnsiTheme="minorEastAsia" w:hint="eastAsia"/>
          <w:bCs/>
          <w:sz w:val="24"/>
          <w:szCs w:val="24"/>
        </w:rPr>
        <w:t>1.</w:t>
      </w:r>
      <w:r w:rsidRPr="005F2F77">
        <w:rPr>
          <w:rFonts w:asciiTheme="minorEastAsia" w:hAnsiTheme="minorEastAsia" w:hint="eastAsia"/>
          <w:b/>
          <w:bCs/>
          <w:color w:val="FF0000"/>
          <w:sz w:val="24"/>
          <w:szCs w:val="24"/>
        </w:rPr>
        <w:t>生涯规划培训的学时可与创业教育类活动累加在一起后认定创新创业学分。</w:t>
      </w:r>
      <w:r w:rsidRPr="005F2F77">
        <w:rPr>
          <w:rFonts w:asciiTheme="minorEastAsia" w:hAnsiTheme="minorEastAsia" w:hint="eastAsia"/>
          <w:sz w:val="24"/>
          <w:szCs w:val="24"/>
        </w:rPr>
        <w:t>比如，创业教育活动累计获得8学时，生涯规划培训获得4学时，可在任意一处认定获得2分值。</w:t>
      </w:r>
    </w:p>
    <w:p w:rsidR="005F2F77" w:rsidRPr="005F2F77" w:rsidRDefault="005F2F77" w:rsidP="005F2F77">
      <w:pPr>
        <w:pStyle w:val="a5"/>
        <w:ind w:left="482" w:firstLine="480"/>
        <w:jc w:val="left"/>
        <w:rPr>
          <w:rFonts w:asciiTheme="minorEastAsia" w:hAnsiTheme="minorEastAsia"/>
          <w:color w:val="FF0000"/>
          <w:sz w:val="24"/>
          <w:szCs w:val="24"/>
        </w:rPr>
      </w:pPr>
      <w:r w:rsidRPr="005F2F77">
        <w:rPr>
          <w:rFonts w:asciiTheme="minorEastAsia" w:hAnsiTheme="minorEastAsia" w:hint="eastAsia"/>
          <w:sz w:val="24"/>
          <w:szCs w:val="24"/>
        </w:rPr>
        <w:t>2.参与院级生涯规划与就业指导（含辅导）活动由各学院安排，</w:t>
      </w:r>
      <w:r w:rsidRPr="005F2F77">
        <w:rPr>
          <w:rFonts w:asciiTheme="minorEastAsia" w:hAnsiTheme="minorEastAsia" w:hint="eastAsia"/>
          <w:b/>
          <w:bCs/>
          <w:color w:val="FF0000"/>
          <w:sz w:val="24"/>
          <w:szCs w:val="24"/>
        </w:rPr>
        <w:t>可跨学院参与，需本学院认定</w:t>
      </w:r>
      <w:r w:rsidRPr="005F2F77">
        <w:rPr>
          <w:rFonts w:asciiTheme="minorEastAsia" w:hAnsiTheme="minorEastAsia" w:hint="eastAsia"/>
          <w:color w:val="FF0000"/>
          <w:sz w:val="24"/>
          <w:szCs w:val="24"/>
        </w:rPr>
        <w:t>。</w:t>
      </w:r>
    </w:p>
    <w:p w:rsidR="005F2F77" w:rsidRPr="005F2F77" w:rsidRDefault="005F2F77" w:rsidP="005F2F77">
      <w:pPr>
        <w:pStyle w:val="a5"/>
        <w:ind w:left="482" w:firstLine="480"/>
        <w:jc w:val="left"/>
        <w:rPr>
          <w:rFonts w:asciiTheme="minorEastAsia" w:hAnsiTheme="minorEastAsia"/>
          <w:sz w:val="24"/>
          <w:szCs w:val="24"/>
        </w:rPr>
      </w:pPr>
      <w:r>
        <w:rPr>
          <w:rFonts w:asciiTheme="minorEastAsia" w:hAnsiTheme="minorEastAsia" w:hint="eastAsia"/>
          <w:sz w:val="24"/>
          <w:szCs w:val="24"/>
        </w:rPr>
        <w:t>（六）</w:t>
      </w:r>
      <w:r w:rsidRPr="005F2F77">
        <w:rPr>
          <w:rFonts w:asciiTheme="minorEastAsia" w:hAnsiTheme="minorEastAsia"/>
          <w:noProof/>
          <w:sz w:val="24"/>
          <w:szCs w:val="24"/>
        </w:rPr>
        <w:drawing>
          <wp:inline distT="0" distB="0" distL="0" distR="0" wp14:anchorId="73AB43A3" wp14:editId="5F11E1DD">
            <wp:extent cx="5274310" cy="1410970"/>
            <wp:effectExtent l="0" t="0" r="254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1410970"/>
                    </a:xfrm>
                    <a:prstGeom prst="rect">
                      <a:avLst/>
                    </a:prstGeom>
                  </pic:spPr>
                </pic:pic>
              </a:graphicData>
            </a:graphic>
          </wp:inline>
        </w:drawing>
      </w:r>
    </w:p>
    <w:p w:rsidR="005F2F77" w:rsidRPr="005F2F77" w:rsidRDefault="005F2F77" w:rsidP="005F2F77">
      <w:pPr>
        <w:pStyle w:val="a5"/>
        <w:ind w:left="482" w:firstLine="480"/>
        <w:jc w:val="left"/>
        <w:rPr>
          <w:rFonts w:asciiTheme="minorEastAsia" w:hAnsiTheme="minorEastAsia"/>
          <w:sz w:val="24"/>
          <w:szCs w:val="24"/>
        </w:rPr>
      </w:pPr>
      <w:r w:rsidRPr="005F2F77">
        <w:rPr>
          <w:rFonts w:asciiTheme="minorEastAsia" w:hAnsiTheme="minorEastAsia" w:hint="eastAsia"/>
          <w:sz w:val="24"/>
          <w:szCs w:val="24"/>
        </w:rPr>
        <w:lastRenderedPageBreak/>
        <w:t>1.人力社会资源保障部公布的《国家职业资格目录》,</w:t>
      </w:r>
      <w:hyperlink r:id="rId15" w:history="1">
        <w:r w:rsidRPr="005F2F77">
          <w:rPr>
            <w:rStyle w:val="a7"/>
            <w:rFonts w:asciiTheme="minorEastAsia" w:hAnsiTheme="minorEastAsia" w:hint="eastAsia"/>
            <w:sz w:val="24"/>
            <w:szCs w:val="24"/>
          </w:rPr>
          <w:t>技能人员职业资格</w:t>
        </w:r>
      </w:hyperlink>
      <w:r w:rsidRPr="005F2F77">
        <w:rPr>
          <w:rFonts w:asciiTheme="minorEastAsia" w:hAnsiTheme="minorEastAsia" w:hint="eastAsia"/>
          <w:sz w:val="24"/>
          <w:szCs w:val="24"/>
        </w:rPr>
        <w:t>和</w:t>
      </w:r>
      <w:hyperlink r:id="rId16" w:history="1">
        <w:r w:rsidRPr="005F2F77">
          <w:rPr>
            <w:rStyle w:val="a7"/>
            <w:rFonts w:asciiTheme="minorEastAsia" w:hAnsiTheme="minorEastAsia" w:hint="eastAsia"/>
            <w:sz w:val="24"/>
            <w:szCs w:val="24"/>
          </w:rPr>
          <w:t>专业技术人员职业资格</w:t>
        </w:r>
      </w:hyperlink>
    </w:p>
    <w:p w:rsidR="005F2F77" w:rsidRPr="005F2F77" w:rsidRDefault="005F2F77" w:rsidP="005F2F77">
      <w:pPr>
        <w:pStyle w:val="a5"/>
        <w:ind w:left="482" w:firstLine="480"/>
        <w:jc w:val="left"/>
        <w:rPr>
          <w:rFonts w:asciiTheme="minorEastAsia" w:hAnsiTheme="minorEastAsia"/>
          <w:sz w:val="24"/>
          <w:szCs w:val="24"/>
        </w:rPr>
      </w:pPr>
      <w:r w:rsidRPr="005F2F77">
        <w:rPr>
          <w:rFonts w:asciiTheme="minorEastAsia" w:hAnsiTheme="minorEastAsia" w:hint="eastAsia"/>
          <w:sz w:val="24"/>
          <w:szCs w:val="24"/>
        </w:rPr>
        <w:t>2.例如：A同学获得了英语CET6、日语N3、雅思6分、计算机二级、计算机三级，则A同学共获得2分。B同学获得了英语CET4、计算机二级、普通话二级乙、会计从业资格证、教师资格证，则B同学共获得5分。</w:t>
      </w:r>
    </w:p>
    <w:p w:rsidR="005F2F77" w:rsidRPr="005F2F77" w:rsidRDefault="005F2F77" w:rsidP="005F2F77">
      <w:pPr>
        <w:pStyle w:val="a5"/>
        <w:ind w:left="482" w:firstLine="480"/>
        <w:jc w:val="left"/>
        <w:rPr>
          <w:rFonts w:asciiTheme="minorEastAsia" w:hAnsiTheme="minorEastAsia"/>
          <w:color w:val="FF0000"/>
          <w:sz w:val="24"/>
          <w:szCs w:val="24"/>
        </w:rPr>
      </w:pPr>
      <w:r w:rsidRPr="005F2F77">
        <w:rPr>
          <w:rFonts w:asciiTheme="minorEastAsia" w:hAnsiTheme="minorEastAsia" w:hint="eastAsia"/>
          <w:color w:val="FF0000"/>
          <w:sz w:val="24"/>
          <w:szCs w:val="24"/>
        </w:rPr>
        <w:t>3.对于部分少数民族，可以通过汉语水平考试获得分值。</w:t>
      </w:r>
    </w:p>
    <w:p w:rsidR="005F2F77" w:rsidRPr="005F2F77" w:rsidRDefault="005F2F77" w:rsidP="005F2F77">
      <w:pPr>
        <w:pStyle w:val="a5"/>
        <w:ind w:left="482" w:firstLine="480"/>
        <w:jc w:val="left"/>
        <w:rPr>
          <w:rFonts w:asciiTheme="minorEastAsia" w:hAnsiTheme="minorEastAsia"/>
          <w:color w:val="FF0000"/>
          <w:sz w:val="24"/>
          <w:szCs w:val="24"/>
        </w:rPr>
      </w:pPr>
      <w:r w:rsidRPr="005F2F77">
        <w:rPr>
          <w:rFonts w:asciiTheme="minorEastAsia" w:hAnsiTheme="minorEastAsia"/>
          <w:color w:val="FF0000"/>
          <w:sz w:val="24"/>
          <w:szCs w:val="24"/>
        </w:rPr>
        <w:t>4.</w:t>
      </w:r>
      <w:r w:rsidRPr="005F2F77">
        <w:rPr>
          <w:rFonts w:asciiTheme="minorEastAsia" w:hAnsiTheme="minorEastAsia" w:hint="eastAsia"/>
          <w:color w:val="FF0000"/>
          <w:sz w:val="24"/>
          <w:szCs w:val="24"/>
        </w:rPr>
        <w:t>四六级也能认定创新创业学分！</w:t>
      </w:r>
    </w:p>
    <w:p w:rsidR="005F2F77" w:rsidRPr="005F2F77" w:rsidRDefault="005F2F77" w:rsidP="005F2F77">
      <w:pPr>
        <w:pStyle w:val="a5"/>
        <w:ind w:left="482" w:firstLine="482"/>
        <w:jc w:val="left"/>
        <w:rPr>
          <w:rFonts w:asciiTheme="minorEastAsia" w:hAnsiTheme="minorEastAsia"/>
          <w:color w:val="FF0000"/>
          <w:sz w:val="24"/>
          <w:szCs w:val="24"/>
        </w:rPr>
      </w:pPr>
      <w:r w:rsidRPr="005F2F77">
        <w:rPr>
          <w:rFonts w:asciiTheme="minorEastAsia" w:hAnsiTheme="minorEastAsia"/>
          <w:b/>
          <w:bCs/>
          <w:color w:val="FF0000"/>
          <w:sz w:val="24"/>
          <w:szCs w:val="24"/>
        </w:rPr>
        <w:t>5.</w:t>
      </w:r>
      <w:r w:rsidRPr="005F2F77">
        <w:rPr>
          <w:rFonts w:asciiTheme="minorEastAsia" w:hAnsiTheme="minorEastAsia" w:hint="eastAsia"/>
          <w:b/>
          <w:bCs/>
          <w:color w:val="FF0000"/>
          <w:sz w:val="24"/>
          <w:szCs w:val="24"/>
        </w:rPr>
        <w:t>该部分各项目内分值不累计。</w:t>
      </w:r>
    </w:p>
    <w:p w:rsidR="005F2F77" w:rsidRPr="005F2F77" w:rsidRDefault="005F2F77" w:rsidP="001F2B9B">
      <w:pPr>
        <w:pStyle w:val="a5"/>
        <w:ind w:left="482" w:firstLine="480"/>
        <w:jc w:val="left"/>
        <w:rPr>
          <w:rFonts w:asciiTheme="minorEastAsia" w:hAnsiTheme="minorEastAsia"/>
          <w:sz w:val="24"/>
          <w:szCs w:val="24"/>
        </w:rPr>
      </w:pPr>
    </w:p>
    <w:sectPr w:rsidR="005F2F77" w:rsidRPr="005F2F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5D0" w:rsidRDefault="008B75D0" w:rsidP="003B7531">
      <w:r>
        <w:separator/>
      </w:r>
    </w:p>
  </w:endnote>
  <w:endnote w:type="continuationSeparator" w:id="0">
    <w:p w:rsidR="008B75D0" w:rsidRDefault="008B75D0" w:rsidP="003B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5D0" w:rsidRDefault="008B75D0" w:rsidP="003B7531">
      <w:r>
        <w:separator/>
      </w:r>
    </w:p>
  </w:footnote>
  <w:footnote w:type="continuationSeparator" w:id="0">
    <w:p w:rsidR="008B75D0" w:rsidRDefault="008B75D0" w:rsidP="003B7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B37A9"/>
    <w:multiLevelType w:val="hybridMultilevel"/>
    <w:tmpl w:val="30A0B9CE"/>
    <w:lvl w:ilvl="0" w:tplc="D542BB8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650D9"/>
    <w:multiLevelType w:val="hybridMultilevel"/>
    <w:tmpl w:val="C04CDC46"/>
    <w:lvl w:ilvl="0" w:tplc="BE22A364">
      <w:start w:val="1"/>
      <w:numFmt w:val="decimal"/>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13"/>
    <w:rsid w:val="001F2B9B"/>
    <w:rsid w:val="00250A60"/>
    <w:rsid w:val="003B7531"/>
    <w:rsid w:val="005F2700"/>
    <w:rsid w:val="005F2F77"/>
    <w:rsid w:val="006B437E"/>
    <w:rsid w:val="00816E9D"/>
    <w:rsid w:val="008B75D0"/>
    <w:rsid w:val="008F76CC"/>
    <w:rsid w:val="00B9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6E6966-2AAD-4BAD-8306-A2D5B54C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7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7531"/>
    <w:rPr>
      <w:sz w:val="18"/>
      <w:szCs w:val="18"/>
    </w:rPr>
  </w:style>
  <w:style w:type="paragraph" w:styleId="a4">
    <w:name w:val="footer"/>
    <w:basedOn w:val="a"/>
    <w:link w:val="Char0"/>
    <w:uiPriority w:val="99"/>
    <w:unhideWhenUsed/>
    <w:rsid w:val="003B7531"/>
    <w:pPr>
      <w:tabs>
        <w:tab w:val="center" w:pos="4153"/>
        <w:tab w:val="right" w:pos="8306"/>
      </w:tabs>
      <w:snapToGrid w:val="0"/>
      <w:jc w:val="left"/>
    </w:pPr>
    <w:rPr>
      <w:sz w:val="18"/>
      <w:szCs w:val="18"/>
    </w:rPr>
  </w:style>
  <w:style w:type="character" w:customStyle="1" w:styleId="Char0">
    <w:name w:val="页脚 Char"/>
    <w:basedOn w:val="a0"/>
    <w:link w:val="a4"/>
    <w:uiPriority w:val="99"/>
    <w:rsid w:val="003B7531"/>
    <w:rPr>
      <w:sz w:val="18"/>
      <w:szCs w:val="18"/>
    </w:rPr>
  </w:style>
  <w:style w:type="paragraph" w:styleId="a5">
    <w:name w:val="List Paragraph"/>
    <w:basedOn w:val="a"/>
    <w:uiPriority w:val="34"/>
    <w:qFormat/>
    <w:rsid w:val="003B7531"/>
    <w:pPr>
      <w:ind w:firstLineChars="200" w:firstLine="420"/>
    </w:pPr>
  </w:style>
  <w:style w:type="paragraph" w:styleId="a6">
    <w:name w:val="Normal (Web)"/>
    <w:basedOn w:val="a"/>
    <w:uiPriority w:val="99"/>
    <w:semiHidden/>
    <w:unhideWhenUsed/>
    <w:rsid w:val="003B7531"/>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1F2B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3773">
      <w:bodyDiv w:val="1"/>
      <w:marLeft w:val="0"/>
      <w:marRight w:val="0"/>
      <w:marTop w:val="0"/>
      <w:marBottom w:val="0"/>
      <w:divBdr>
        <w:top w:val="none" w:sz="0" w:space="0" w:color="auto"/>
        <w:left w:val="none" w:sz="0" w:space="0" w:color="auto"/>
        <w:bottom w:val="none" w:sz="0" w:space="0" w:color="auto"/>
        <w:right w:val="none" w:sz="0" w:space="0" w:color="auto"/>
      </w:divBdr>
    </w:div>
    <w:div w:id="335571788">
      <w:bodyDiv w:val="1"/>
      <w:marLeft w:val="0"/>
      <w:marRight w:val="0"/>
      <w:marTop w:val="0"/>
      <w:marBottom w:val="0"/>
      <w:divBdr>
        <w:top w:val="none" w:sz="0" w:space="0" w:color="auto"/>
        <w:left w:val="none" w:sz="0" w:space="0" w:color="auto"/>
        <w:bottom w:val="none" w:sz="0" w:space="0" w:color="auto"/>
        <w:right w:val="none" w:sz="0" w:space="0" w:color="auto"/>
      </w:divBdr>
    </w:div>
    <w:div w:id="360712467">
      <w:bodyDiv w:val="1"/>
      <w:marLeft w:val="0"/>
      <w:marRight w:val="0"/>
      <w:marTop w:val="0"/>
      <w:marBottom w:val="0"/>
      <w:divBdr>
        <w:top w:val="none" w:sz="0" w:space="0" w:color="auto"/>
        <w:left w:val="none" w:sz="0" w:space="0" w:color="auto"/>
        <w:bottom w:val="none" w:sz="0" w:space="0" w:color="auto"/>
        <w:right w:val="none" w:sz="0" w:space="0" w:color="auto"/>
      </w:divBdr>
    </w:div>
    <w:div w:id="466315608">
      <w:bodyDiv w:val="1"/>
      <w:marLeft w:val="0"/>
      <w:marRight w:val="0"/>
      <w:marTop w:val="0"/>
      <w:marBottom w:val="0"/>
      <w:divBdr>
        <w:top w:val="none" w:sz="0" w:space="0" w:color="auto"/>
        <w:left w:val="none" w:sz="0" w:space="0" w:color="auto"/>
        <w:bottom w:val="none" w:sz="0" w:space="0" w:color="auto"/>
        <w:right w:val="none" w:sz="0" w:space="0" w:color="auto"/>
      </w:divBdr>
    </w:div>
    <w:div w:id="929311676">
      <w:bodyDiv w:val="1"/>
      <w:marLeft w:val="0"/>
      <w:marRight w:val="0"/>
      <w:marTop w:val="0"/>
      <w:marBottom w:val="0"/>
      <w:divBdr>
        <w:top w:val="none" w:sz="0" w:space="0" w:color="auto"/>
        <w:left w:val="none" w:sz="0" w:space="0" w:color="auto"/>
        <w:bottom w:val="none" w:sz="0" w:space="0" w:color="auto"/>
        <w:right w:val="none" w:sz="0" w:space="0" w:color="auto"/>
      </w:divBdr>
    </w:div>
    <w:div w:id="1045638419">
      <w:bodyDiv w:val="1"/>
      <w:marLeft w:val="0"/>
      <w:marRight w:val="0"/>
      <w:marTop w:val="0"/>
      <w:marBottom w:val="0"/>
      <w:divBdr>
        <w:top w:val="none" w:sz="0" w:space="0" w:color="auto"/>
        <w:left w:val="none" w:sz="0" w:space="0" w:color="auto"/>
        <w:bottom w:val="none" w:sz="0" w:space="0" w:color="auto"/>
        <w:right w:val="none" w:sz="0" w:space="0" w:color="auto"/>
      </w:divBdr>
    </w:div>
    <w:div w:id="1099329455">
      <w:bodyDiv w:val="1"/>
      <w:marLeft w:val="0"/>
      <w:marRight w:val="0"/>
      <w:marTop w:val="0"/>
      <w:marBottom w:val="0"/>
      <w:divBdr>
        <w:top w:val="none" w:sz="0" w:space="0" w:color="auto"/>
        <w:left w:val="none" w:sz="0" w:space="0" w:color="auto"/>
        <w:bottom w:val="none" w:sz="0" w:space="0" w:color="auto"/>
        <w:right w:val="none" w:sz="0" w:space="0" w:color="auto"/>
      </w:divBdr>
    </w:div>
    <w:div w:id="1159617865">
      <w:bodyDiv w:val="1"/>
      <w:marLeft w:val="0"/>
      <w:marRight w:val="0"/>
      <w:marTop w:val="0"/>
      <w:marBottom w:val="0"/>
      <w:divBdr>
        <w:top w:val="none" w:sz="0" w:space="0" w:color="auto"/>
        <w:left w:val="none" w:sz="0" w:space="0" w:color="auto"/>
        <w:bottom w:val="none" w:sz="0" w:space="0" w:color="auto"/>
        <w:right w:val="none" w:sz="0" w:space="0" w:color="auto"/>
      </w:divBdr>
    </w:div>
    <w:div w:id="1436705333">
      <w:bodyDiv w:val="1"/>
      <w:marLeft w:val="0"/>
      <w:marRight w:val="0"/>
      <w:marTop w:val="0"/>
      <w:marBottom w:val="0"/>
      <w:divBdr>
        <w:top w:val="none" w:sz="0" w:space="0" w:color="auto"/>
        <w:left w:val="none" w:sz="0" w:space="0" w:color="auto"/>
        <w:bottom w:val="none" w:sz="0" w:space="0" w:color="auto"/>
        <w:right w:val="none" w:sz="0" w:space="0" w:color="auto"/>
      </w:divBdr>
    </w:div>
    <w:div w:id="1475946092">
      <w:bodyDiv w:val="1"/>
      <w:marLeft w:val="0"/>
      <w:marRight w:val="0"/>
      <w:marTop w:val="0"/>
      <w:marBottom w:val="0"/>
      <w:divBdr>
        <w:top w:val="none" w:sz="0" w:space="0" w:color="auto"/>
        <w:left w:val="none" w:sz="0" w:space="0" w:color="auto"/>
        <w:bottom w:val="none" w:sz="0" w:space="0" w:color="auto"/>
        <w:right w:val="none" w:sz="0" w:space="0" w:color="auto"/>
      </w:divBdr>
    </w:div>
    <w:div w:id="1683892433">
      <w:bodyDiv w:val="1"/>
      <w:marLeft w:val="0"/>
      <w:marRight w:val="0"/>
      <w:marTop w:val="0"/>
      <w:marBottom w:val="0"/>
      <w:divBdr>
        <w:top w:val="none" w:sz="0" w:space="0" w:color="auto"/>
        <w:left w:val="none" w:sz="0" w:space="0" w:color="auto"/>
        <w:bottom w:val="none" w:sz="0" w:space="0" w:color="auto"/>
        <w:right w:val="none" w:sz="0" w:space="0" w:color="auto"/>
      </w:divBdr>
    </w:div>
    <w:div w:id="18657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38468;&#20214;1&#65306;&#31185;&#30740;&#22788;&#20851;&#20110;&#22269;&#38469;&#22269;&#20869;&#26399;&#21002;&#30340;&#30830;&#23450;&#21407;&#21017;&#21450;&#30446;&#24405;&#65288;&#21019;&#26032;&#31867;-&#23398;&#26415;&#20316;&#21697;&#21457;&#34920;&#65289;.pdf"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38468;&#20214;4&#65306;&#19987;&#19994;&#25216;&#26415;&#20154;&#21592;&#32844;&#19994;&#36164;&#26684;&#65288;&#25216;&#33021;&#31867;-&#22269;&#23478;&#32844;&#19994;&#36164;&#26684;&#35777;&#20070;&#65289;.x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ourse163.org/course/CUEB-1002015029" TargetMode="External"/><Relationship Id="rId5" Type="http://schemas.openxmlformats.org/officeDocument/2006/relationships/footnotes" Target="footnotes.xml"/><Relationship Id="rId15" Type="http://schemas.openxmlformats.org/officeDocument/2006/relationships/hyperlink" Target="&#38468;&#20214;3&#65306;&#25216;&#33021;&#20154;&#21592;&#32844;&#19994;&#36164;&#26684;&#65288;&#25216;&#33021;&#31867;-&#22269;&#23478;&#32844;&#19994;&#36164;&#26684;&#35777;&#20070;&#65289;.xls"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2020-10-20T01:07:00Z</dcterms:created>
  <dcterms:modified xsi:type="dcterms:W3CDTF">2020-10-20T02:07:00Z</dcterms:modified>
</cp:coreProperties>
</file>